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 Орликовского сельского 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май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86"/>
        <w:tblW w:w="9889" w:type="dxa"/>
        <w:tblLook w:val="04A0" w:firstRow="1" w:lastRow="0" w:firstColumn="1" w:lastColumn="0" w:noHBand="0" w:noVBand="1"/>
      </w:tblPr>
      <w:tblGrid>
        <w:gridCol w:w="3652"/>
        <w:gridCol w:w="4536"/>
        <w:gridCol w:w="1701"/>
      </w:tblGrid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за предыдущий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обращений в орган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устных (личных приемов)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в органе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взято на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на рассмотрение в иные органы (всего):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за отчетный месяц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меры приняты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Орликовского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М.В. Ступак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modified xsi:type="dcterms:W3CDTF">2025-05-14T07:35:53Z</dcterms:modified>
</cp:coreProperties>
</file>